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i/>
          <w:iCs/>
          <w:sz w:val="28"/>
          <w:szCs w:val="28"/>
        </w:rPr>
        <w:t>Zał.nr 3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PLAN GOSPODARCZY – remontowy na 2022r.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Osiedle mieszkaniowe Sępólno Krajeńskie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Naliczenie na 2022 rok wynosi :</w:t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33.495,25 m</w:t>
      </w:r>
      <w:r>
        <w:rPr>
          <w:rFonts w:cs="Calibri" w:cstheme="minorHAnsi"/>
          <w:i/>
          <w:iCs/>
          <w:sz w:val="28"/>
          <w:szCs w:val="28"/>
        </w:rPr>
        <w:t>²</w:t>
      </w:r>
      <w:r>
        <w:rPr>
          <w:i/>
          <w:iCs/>
          <w:sz w:val="28"/>
          <w:szCs w:val="28"/>
        </w:rPr>
        <w:t xml:space="preserve"> x 1,60 zł. x 12 m-cy      + 643.108,80 zł.</w:t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</w:t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/>
      </w:r>
    </w:p>
    <w:p>
      <w:pPr>
        <w:pStyle w:val="ListParagraph"/>
        <w:ind w:left="1080" w:hanging="0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Planowane inwestycje i remonty :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Remont klatek schodowych w budynkach Słowackiego nr 2,5,15,16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Remont balkonów Słowackiego 7 i 8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Remont dachów i kominów Słowackiego 1, 7,8,9  ul. Wysoka 10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Montaż zadaszeń balkonów na bud. 18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Budowa chodnika pomiędzy Słowackiego 15 i 19 oraz od Słowackiego 19 w stronę Słowackiego 18         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Izolacja szczytu budynku Słowackiego 16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Czyszczenie elewacji budynki Słowackiego 6 i 7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Pochwyty na poręczach w kl. schodowych Słowackiego 2,5,15 i 16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Wymiana stolarki okiennej                                                      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Naprawa i modernizacje schodów i chodników.                 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Roboty dekarsko-blacharskie wg. Potrzeb                                  .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Włazy dachowe                                                                                </w:t>
      </w:r>
    </w:p>
    <w:p>
      <w:pPr>
        <w:pStyle w:val="ListParagraph"/>
        <w:numPr>
          <w:ilvl w:val="0"/>
          <w:numId w:val="0"/>
        </w:numPr>
        <w:ind w:left="1440" w:hanging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color w:val="FF0000"/>
          <w:sz w:val="28"/>
          <w:szCs w:val="28"/>
        </w:rPr>
        <w:t xml:space="preserve">                                                                                 </w:t>
      </w:r>
      <w:r>
        <w:rPr>
          <w:i/>
          <w:iCs/>
          <w:sz w:val="28"/>
          <w:szCs w:val="28"/>
        </w:rPr>
        <w:t xml:space="preserve">                   </w:t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Po</w:t>
      </w:r>
      <w:r>
        <w:rPr>
          <w:b/>
          <w:i/>
          <w:iCs/>
          <w:sz w:val="28"/>
          <w:szCs w:val="28"/>
        </w:rPr>
        <w:t>n</w:t>
      </w:r>
      <w:r>
        <w:rPr>
          <w:b/>
          <w:i/>
          <w:iCs/>
          <w:sz w:val="28"/>
          <w:szCs w:val="28"/>
        </w:rPr>
        <w:t>adto obligatoryjnie obowiązujące przeglądy okresowe oraz prace   konserwacyjne, które zaliczane są do kosztów eksploatacji:</w:t>
      </w:r>
    </w:p>
    <w:p>
      <w:pPr>
        <w:pStyle w:val="ListParagraph"/>
        <w:numPr>
          <w:ilvl w:val="0"/>
          <w:numId w:val="4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Instalacji gazowej,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Instalacji dymowej i wentylacyjnej,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Odgromowej i skuteczności zerowania</w:t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wraz z naprawami instalacji nie spełniającej swego zadania.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Place zabaw i elementy małej architektury.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Zakup lub remont pojemników na odpady stałe ( zgodnie z nowelizacją ustawy)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39a2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39a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Application>LibreOffice/7.1.5.2$Windows_X86_64 LibreOffice_project/85f04e9f809797b8199d13c421bd8a2b025d52b5</Application>
  <AppVersion>15.0000</AppVersion>
  <Pages>1</Pages>
  <Words>184</Words>
  <Characters>1029</Characters>
  <CharactersWithSpaces>1919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2019-01-23T10:28:00Z</dcterms:created>
  <dc:creator>Prezes</dc:creator>
  <dc:description/>
  <dc:language>pl-PL</dc:language>
  <cp:lastModifiedBy/>
  <cp:lastPrinted>2022-02-17T11:49:00Z</cp:lastPrinted>
  <dcterms:modified xsi:type="dcterms:W3CDTF">2022-05-26T14:12:14Z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